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300" w:rsidRDefault="00DF2300" w:rsidP="00DF23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2.5.4 Shutdown methodology</w:t>
      </w:r>
    </w:p>
    <w:p w:rsidR="00DF2300" w:rsidRDefault="00DF2300" w:rsidP="00DF230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This section describes a shutdown methodology that is used to evaluate the relative</w:t>
      </w:r>
    </w:p>
    <w:p w:rsidR="00DF2300" w:rsidRDefault="00DF2300" w:rsidP="00DF230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importance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of the transmission mechanisms of monetary policy in Malaysia. The</w:t>
      </w:r>
    </w:p>
    <w:p w:rsidR="00DF2300" w:rsidRDefault="00DF2300" w:rsidP="00DF230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approach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follows that of Ludvigson et al. (2002) and Tang (2006). The technique</w:t>
      </w:r>
    </w:p>
    <w:p w:rsidR="00DF2300" w:rsidRDefault="00DF2300" w:rsidP="00DF230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involves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comparing the impulse response of output (and inflation) to a shock to the</w:t>
      </w:r>
    </w:p>
    <w:p w:rsidR="00DF2300" w:rsidRDefault="00DF2300" w:rsidP="00DF230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interest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rate when all the channels are operational (called the baseline impulse</w:t>
      </w:r>
    </w:p>
    <w:p w:rsidR="00DF2300" w:rsidRDefault="00DF2300" w:rsidP="00DF230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response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functions), with the impulse response of output (and inflation) to the same</w:t>
      </w:r>
    </w:p>
    <w:p w:rsidR="00DF2300" w:rsidRDefault="00DF2300" w:rsidP="00DF230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shock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when one of the channels is muted (called the constrained impulse response</w:t>
      </w:r>
    </w:p>
    <w:p w:rsidR="00DF2300" w:rsidRDefault="00DF2300" w:rsidP="00DF230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functions</w:t>
      </w:r>
      <w:proofErr w:type="gramEnd"/>
      <w:r>
        <w:rPr>
          <w:rFonts w:ascii="TimesNewRomanPSMT" w:hAnsi="TimesNewRomanPSMT" w:cs="TimesNewRomanPSMT"/>
          <w:sz w:val="24"/>
          <w:szCs w:val="24"/>
        </w:rPr>
        <w:t>). The wider the deviation of the constrained impulse responses from the</w:t>
      </w:r>
    </w:p>
    <w:p w:rsidR="00DF2300" w:rsidRDefault="00DF2300" w:rsidP="00DF230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baseline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impulse responses, the stronger is that channel. A channel is considered</w:t>
      </w:r>
    </w:p>
    <w:p w:rsidR="00DF2300" w:rsidRDefault="00DF2300" w:rsidP="00DF230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statistically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significant in the transmission of monetary policy variable if the</w:t>
      </w:r>
    </w:p>
    <w:p w:rsidR="00DF2300" w:rsidRDefault="00DF2300" w:rsidP="00DF230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constrained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impulse response is outside of upper or lower bound of the confidence</w:t>
      </w:r>
    </w:p>
    <w:p w:rsidR="00A13805" w:rsidRDefault="00DF2300" w:rsidP="00DF2300">
      <w:pPr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intervals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for the baseline impulse response.</w:t>
      </w:r>
    </w:p>
    <w:p w:rsidR="00DF2300" w:rsidRDefault="00DF2300" w:rsidP="00DF23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Figure :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Constrained and Unconstrained Impulse Responses of Domestic</w:t>
      </w:r>
    </w:p>
    <w:p w:rsidR="00DF2300" w:rsidRDefault="00DF2300" w:rsidP="00DF2300">
      <w:pPr>
        <w:rPr>
          <w:rFonts w:ascii="TimesNewRomanPSMT" w:hAnsi="TimesNewRomanPSMT" w:cs="TimesNewRomanPSMT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Output to an Interest Rate Shock</w:t>
      </w:r>
    </w:p>
    <w:p w:rsidR="00DF2300" w:rsidRDefault="00DF2300" w:rsidP="00DF2300">
      <w:r>
        <w:rPr>
          <w:noProof/>
        </w:rPr>
        <w:drawing>
          <wp:inline distT="0" distB="0" distL="0" distR="0">
            <wp:extent cx="5943600" cy="2967177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67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F2300" w:rsidSect="005877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PS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revisionView w:inkAnnotations="0"/>
  <w:defaultTabStop w:val="720"/>
  <w:characterSpacingControl w:val="doNotCompress"/>
  <w:compat/>
  <w:rsids>
    <w:rsidRoot w:val="00DF2300"/>
    <w:rsid w:val="0002586E"/>
    <w:rsid w:val="00587730"/>
    <w:rsid w:val="00DE1A03"/>
    <w:rsid w:val="00DF2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77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2014-03-14T21:05:00Z</dcterms:created>
  <dcterms:modified xsi:type="dcterms:W3CDTF">2014-03-14T21:07:00Z</dcterms:modified>
</cp:coreProperties>
</file>